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BE" w:rsidRDefault="00D60EB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49" w:type="dxa"/>
        <w:tblInd w:w="-731" w:type="dxa"/>
        <w:tblLayout w:type="fixed"/>
        <w:tblLook w:val="0000"/>
      </w:tblPr>
      <w:tblGrid>
        <w:gridCol w:w="1812"/>
        <w:gridCol w:w="9237"/>
      </w:tblGrid>
      <w:tr w:rsidR="00D60EBE">
        <w:trPr>
          <w:cantSplit/>
          <w:tblHeader/>
        </w:trPr>
        <w:tc>
          <w:tcPr>
            <w:tcW w:w="1812" w:type="dxa"/>
            <w:vMerge w:val="restart"/>
            <w:shd w:val="clear" w:color="auto" w:fill="auto"/>
          </w:tcPr>
          <w:p w:rsidR="00D60EBE" w:rsidRDefault="00B152D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-16509</wp:posOffset>
                  </wp:positionH>
                  <wp:positionV relativeFrom="paragraph">
                    <wp:posOffset>87630</wp:posOffset>
                  </wp:positionV>
                  <wp:extent cx="1114425" cy="768985"/>
                  <wp:effectExtent l="0" t="0" r="0" b="0"/>
                  <wp:wrapSquare wrapText="bothSides" distT="0" distB="0" distL="0" distR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7689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37" w:type="dxa"/>
            <w:tcBorders>
              <w:bottom w:val="single" w:sz="12" w:space="0" w:color="3465A4"/>
            </w:tcBorders>
            <w:shd w:val="clear" w:color="auto" w:fill="auto"/>
          </w:tcPr>
          <w:p w:rsidR="00D60EBE" w:rsidRDefault="00B152D6">
            <w:pPr>
              <w:pStyle w:val="Ttulo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Información al alumnado y sus familias</w:t>
            </w:r>
          </w:p>
        </w:tc>
      </w:tr>
      <w:tr w:rsidR="00D60EBE">
        <w:trPr>
          <w:cantSplit/>
          <w:tblHeader/>
        </w:trPr>
        <w:tc>
          <w:tcPr>
            <w:tcW w:w="1812" w:type="dxa"/>
            <w:vMerge/>
            <w:shd w:val="clear" w:color="auto" w:fill="auto"/>
          </w:tcPr>
          <w:p w:rsidR="00D60EBE" w:rsidRDefault="00D60EBE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jc w:val="left"/>
              <w:rPr>
                <w:sz w:val="48"/>
                <w:szCs w:val="48"/>
              </w:rPr>
            </w:pPr>
          </w:p>
        </w:tc>
        <w:tc>
          <w:tcPr>
            <w:tcW w:w="9237" w:type="dxa"/>
            <w:shd w:val="clear" w:color="auto" w:fill="auto"/>
          </w:tcPr>
          <w:p w:rsidR="00D60EBE" w:rsidRDefault="00B152D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color w:val="000000"/>
                <w:sz w:val="44"/>
                <w:szCs w:val="44"/>
              </w:rPr>
              <w:t>Curso 202</w:t>
            </w:r>
            <w:r>
              <w:rPr>
                <w:sz w:val="44"/>
                <w:szCs w:val="44"/>
              </w:rPr>
              <w:t>5</w:t>
            </w:r>
            <w:r>
              <w:rPr>
                <w:color w:val="000000"/>
                <w:sz w:val="44"/>
                <w:szCs w:val="44"/>
              </w:rPr>
              <w:t>/2</w:t>
            </w:r>
            <w:r>
              <w:rPr>
                <w:sz w:val="44"/>
                <w:szCs w:val="44"/>
              </w:rPr>
              <w:t>6</w:t>
            </w:r>
          </w:p>
        </w:tc>
      </w:tr>
    </w:tbl>
    <w:p w:rsidR="00D60EBE" w:rsidRDefault="00D60EBE">
      <w:pPr>
        <w:pStyle w:val="Ttulo"/>
        <w:rPr>
          <w:color w:val="213C70"/>
          <w:sz w:val="32"/>
          <w:szCs w:val="32"/>
        </w:rPr>
      </w:pPr>
    </w:p>
    <w:tbl>
      <w:tblPr>
        <w:tblStyle w:val="a0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insideH w:val="single" w:sz="4" w:space="0" w:color="213C70"/>
        </w:tblBorders>
        <w:tblLayout w:type="fixed"/>
        <w:tblLook w:val="0000"/>
      </w:tblPr>
      <w:tblGrid>
        <w:gridCol w:w="3237"/>
        <w:gridCol w:w="6401"/>
      </w:tblGrid>
      <w:tr w:rsidR="00D60EBE">
        <w:trPr>
          <w:cantSplit/>
          <w:tblHeader/>
        </w:trPr>
        <w:tc>
          <w:tcPr>
            <w:tcW w:w="3237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</w:tcBorders>
            <w:shd w:val="clear" w:color="auto" w:fill="DEE2EB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Departamento:</w:t>
            </w:r>
          </w:p>
        </w:tc>
        <w:tc>
          <w:tcPr>
            <w:tcW w:w="6401" w:type="dxa"/>
            <w:tcBorders>
              <w:top w:val="single" w:sz="6" w:space="0" w:color="213C70"/>
              <w:left w:val="single" w:sz="4" w:space="0" w:color="213C70"/>
              <w:bottom w:val="single" w:sz="4" w:space="0" w:color="213C70"/>
              <w:right w:val="single" w:sz="6" w:space="0" w:color="213C70"/>
            </w:tcBorders>
            <w:shd w:val="clear" w:color="auto" w:fill="FFFFFF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Física y Química</w:t>
            </w:r>
          </w:p>
        </w:tc>
      </w:tr>
      <w:tr w:rsidR="00D60EBE">
        <w:trPr>
          <w:cantSplit/>
          <w:tblHeader/>
        </w:trPr>
        <w:tc>
          <w:tcPr>
            <w:tcW w:w="3237" w:type="dxa"/>
            <w:tcBorders>
              <w:left w:val="single" w:sz="6" w:space="0" w:color="213C70"/>
              <w:bottom w:val="single" w:sz="4" w:space="0" w:color="213C70"/>
            </w:tcBorders>
            <w:shd w:val="clear" w:color="auto" w:fill="DEE2EB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Materia o ámbito:</w:t>
            </w:r>
          </w:p>
        </w:tc>
        <w:tc>
          <w:tcPr>
            <w:tcW w:w="6401" w:type="dxa"/>
            <w:tcBorders>
              <w:left w:val="single" w:sz="4" w:space="0" w:color="213C70"/>
              <w:bottom w:val="single" w:sz="4" w:space="0" w:color="213C70"/>
              <w:right w:val="single" w:sz="6" w:space="0" w:color="213C70"/>
            </w:tcBorders>
            <w:shd w:val="clear" w:color="auto" w:fill="FFFFFF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Física y Química</w:t>
            </w:r>
          </w:p>
        </w:tc>
      </w:tr>
      <w:tr w:rsidR="00D60EBE">
        <w:trPr>
          <w:cantSplit/>
          <w:tblHeader/>
        </w:trPr>
        <w:tc>
          <w:tcPr>
            <w:tcW w:w="3237" w:type="dxa"/>
            <w:tcBorders>
              <w:left w:val="single" w:sz="6" w:space="0" w:color="213C70"/>
              <w:bottom w:val="single" w:sz="6" w:space="0" w:color="213C70"/>
            </w:tcBorders>
            <w:shd w:val="clear" w:color="auto" w:fill="DEE2EB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Curso:</w:t>
            </w:r>
          </w:p>
        </w:tc>
        <w:tc>
          <w:tcPr>
            <w:tcW w:w="6401" w:type="dxa"/>
            <w:tcBorders>
              <w:left w:val="single" w:sz="4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D60EBE" w:rsidRDefault="008764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  <w:r w:rsidR="00B152D6">
              <w:rPr>
                <w:color w:val="000000"/>
                <w:sz w:val="36"/>
                <w:szCs w:val="36"/>
              </w:rPr>
              <w:t xml:space="preserve">º ESO </w:t>
            </w:r>
          </w:p>
        </w:tc>
      </w:tr>
    </w:tbl>
    <w:p w:rsidR="00D60EBE" w:rsidRDefault="00D60EBE">
      <w:pPr>
        <w:pStyle w:val="normal0"/>
        <w:rPr>
          <w:rFonts w:ascii="Liberation Sans" w:eastAsia="Liberation Sans" w:hAnsi="Liberation Sans" w:cs="Liberation Sans"/>
          <w:b/>
          <w:color w:val="213C70"/>
          <w:sz w:val="32"/>
          <w:szCs w:val="32"/>
        </w:rPr>
      </w:pPr>
    </w:p>
    <w:tbl>
      <w:tblPr>
        <w:tblStyle w:val="a1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D60EBE" w:rsidRPr="00C56C9E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D60EBE" w:rsidRPr="00C56C9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 w:rsidRPr="00C56C9E">
              <w:rPr>
                <w:color w:val="3465A4"/>
                <w:sz w:val="36"/>
                <w:szCs w:val="36"/>
              </w:rPr>
              <w:t>Procedimientos e instrumentos de evaluación</w:t>
            </w:r>
          </w:p>
        </w:tc>
      </w:tr>
      <w:tr w:rsidR="00D60EBE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>
            <w:pPr>
              <w:pStyle w:val="normal0"/>
              <w:spacing w:before="200" w:after="0" w:line="336" w:lineRule="auto"/>
              <w:jc w:val="left"/>
            </w:pPr>
            <w:r w:rsidRPr="00C56C9E">
              <w:rPr>
                <w:rFonts w:eastAsia="Helvetica Neue"/>
                <w:sz w:val="22"/>
                <w:szCs w:val="22"/>
              </w:rPr>
              <w:t>Pruebas escritas (exámenes).</w:t>
            </w:r>
          </w:p>
        </w:tc>
      </w:tr>
      <w:tr w:rsidR="00D60EBE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>
            <w:pPr>
              <w:pStyle w:val="normal0"/>
              <w:spacing w:before="200" w:after="0" w:line="336" w:lineRule="auto"/>
              <w:rPr>
                <w:color w:val="000000"/>
              </w:rPr>
            </w:pPr>
            <w:r w:rsidRPr="00C56C9E">
              <w:rPr>
                <w:rFonts w:eastAsia="Helvetica Neue"/>
                <w:sz w:val="22"/>
                <w:szCs w:val="22"/>
              </w:rPr>
              <w:t>Informes de prácticas de laboratorio</w:t>
            </w:r>
          </w:p>
        </w:tc>
      </w:tr>
      <w:tr w:rsidR="00D60EBE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>
            <w:pPr>
              <w:pStyle w:val="normal0"/>
              <w:spacing w:before="200" w:after="0" w:line="336" w:lineRule="auto"/>
              <w:rPr>
                <w:color w:val="000000"/>
              </w:rPr>
            </w:pPr>
            <w:r w:rsidRPr="00C56C9E">
              <w:rPr>
                <w:rFonts w:eastAsia="Helvetica Neue"/>
                <w:sz w:val="22"/>
                <w:szCs w:val="22"/>
              </w:rPr>
              <w:t xml:space="preserve">Trabajos </w:t>
            </w:r>
          </w:p>
        </w:tc>
      </w:tr>
      <w:tr w:rsidR="00D60EBE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>
            <w:pPr>
              <w:pStyle w:val="normal0"/>
              <w:spacing w:before="200" w:after="0" w:line="336" w:lineRule="auto"/>
              <w:rPr>
                <w:color w:val="000000"/>
              </w:rPr>
            </w:pPr>
            <w:r w:rsidRPr="00C56C9E">
              <w:rPr>
                <w:rFonts w:eastAsia="Helvetica Neue"/>
                <w:sz w:val="22"/>
                <w:szCs w:val="22"/>
              </w:rPr>
              <w:t>Pequeñas pruebas escritas (controles)</w:t>
            </w:r>
          </w:p>
        </w:tc>
      </w:tr>
      <w:tr w:rsidR="00D60EBE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>
            <w:pPr>
              <w:pStyle w:val="normal0"/>
              <w:spacing w:before="200" w:after="0" w:line="336" w:lineRule="auto"/>
              <w:jc w:val="left"/>
            </w:pPr>
            <w:r w:rsidRPr="00C56C9E">
              <w:rPr>
                <w:rFonts w:eastAsia="Helvetica Neue"/>
                <w:sz w:val="22"/>
                <w:szCs w:val="22"/>
              </w:rPr>
              <w:t>Revisión de la tarea y la observación del trabajo en clase. (cuaderno del alumnado)</w:t>
            </w:r>
          </w:p>
        </w:tc>
      </w:tr>
    </w:tbl>
    <w:p w:rsidR="00D60EBE" w:rsidRDefault="00D60EBE">
      <w:pPr>
        <w:pStyle w:val="normal0"/>
        <w:rPr>
          <w:rFonts w:ascii="Liberation Sans" w:eastAsia="Liberation Sans" w:hAnsi="Liberation Sans" w:cs="Liberation Sans"/>
          <w:b/>
          <w:color w:val="213C70"/>
          <w:sz w:val="32"/>
          <w:szCs w:val="32"/>
        </w:rPr>
      </w:pPr>
    </w:p>
    <w:tbl>
      <w:tblPr>
        <w:tblStyle w:val="a2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D60EBE" w:rsidRPr="00C56C9E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D60EBE" w:rsidRPr="00C56C9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 w:rsidRPr="00C56C9E">
              <w:rPr>
                <w:color w:val="3465A4"/>
                <w:sz w:val="36"/>
                <w:szCs w:val="36"/>
              </w:rPr>
              <w:t>Criterios de evaluación</w:t>
            </w:r>
          </w:p>
        </w:tc>
      </w:tr>
      <w:tr w:rsidR="00876410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876410" w:rsidRPr="00C56C9E" w:rsidRDefault="00876410" w:rsidP="004C0805">
            <w:pPr>
              <w:pStyle w:val="Estilodetabla2A"/>
              <w:spacing w:line="240" w:lineRule="auto"/>
              <w:rPr>
                <w:rFonts w:ascii="Linux Biolinum G" w:hAnsi="Linux Biolinum G" w:cs="Linux Biolinum G"/>
                <w:sz w:val="22"/>
                <w:szCs w:val="22"/>
              </w:rPr>
            </w:pPr>
            <w:r w:rsidRPr="00C56C9E">
              <w:rPr>
                <w:rStyle w:val="Ninguno"/>
                <w:rFonts w:ascii="Linux Biolinum G" w:hAnsi="Linux Biolinum G" w:cs="Linux Biolinum G"/>
                <w:sz w:val="22"/>
                <w:szCs w:val="22"/>
              </w:rPr>
              <w:t xml:space="preserve">1.1. Identificar comprender y explicar los fenómenos fisicoquímicos cotidianos más relevantes a partir de los principios teorías y leyes científicas adecuadas expresándolos de manera argumentada utilizando diversidad de soportes y medios de comunicación. </w:t>
            </w:r>
          </w:p>
          <w:p w:rsidR="00876410" w:rsidRPr="00C56C9E" w:rsidRDefault="00876410" w:rsidP="004C0805">
            <w:pPr>
              <w:pStyle w:val="Estilodetabla2A"/>
              <w:spacing w:line="240" w:lineRule="auto"/>
              <w:rPr>
                <w:rStyle w:val="Ninguno"/>
                <w:rFonts w:ascii="Linux Biolinum G" w:hAnsi="Linux Biolinum G" w:cs="Linux Biolinum G"/>
                <w:sz w:val="22"/>
                <w:szCs w:val="22"/>
              </w:rPr>
            </w:pPr>
            <w:r w:rsidRPr="00C56C9E">
              <w:rPr>
                <w:rStyle w:val="Ninguno"/>
                <w:rFonts w:ascii="Linux Biolinum G" w:hAnsi="Linux Biolinum G" w:cs="Linux Biolinum G"/>
                <w:sz w:val="22"/>
                <w:szCs w:val="22"/>
              </w:rPr>
              <w:t>1.2. Resolver los problemas fisicoquímicos planteados utilizando las leyes y teorías científicas adecuadas razonando los procedimientos utilizados para encontrar las soluciones y expresando adecuadamente los resultados.</w:t>
            </w:r>
          </w:p>
          <w:p w:rsidR="00876410" w:rsidRPr="00C56C9E" w:rsidRDefault="00876410" w:rsidP="004C0805">
            <w:pPr>
              <w:pStyle w:val="Estilodetabla2A"/>
              <w:spacing w:line="240" w:lineRule="auto"/>
              <w:rPr>
                <w:rFonts w:ascii="Linux Biolinum G" w:hAnsi="Linux Biolinum G" w:cs="Linux Biolinum G"/>
                <w:sz w:val="22"/>
                <w:szCs w:val="22"/>
              </w:rPr>
            </w:pPr>
            <w:r w:rsidRPr="00C56C9E">
              <w:rPr>
                <w:rStyle w:val="Ninguno"/>
                <w:rFonts w:ascii="Linux Biolinum G" w:hAnsi="Linux Biolinum G" w:cs="Linux Biolinum G"/>
                <w:sz w:val="22"/>
                <w:szCs w:val="22"/>
              </w:rPr>
              <w:t>1.3. Reconocer y describir en el entorno inmediato situaciones problemáticas reales de índole científica y emprender iniciativas en las que la ciencia y en particular la física y la química pueden contribuir a su solución analizando críticamente su impacto en la sociedad.</w:t>
            </w:r>
          </w:p>
        </w:tc>
      </w:tr>
      <w:tr w:rsidR="00876410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C56C9E" w:rsidRPr="00C56C9E" w:rsidRDefault="00C56C9E">
            <w:pPr>
              <w:pStyle w:val="normal0"/>
              <w:rPr>
                <w:rStyle w:val="Ninguno"/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lastRenderedPageBreak/>
              <w:t>2.1. Emplear las metodologías propias de la ciencia en la identificación y descripción de fenómenos a partir de cuestiones a las que se pueda dar respuesta a través de la indagación la deducción el trabajo experimental y el razonamiento lógico- matemático diferenciándolas de aquellas pseudocientíficas que no admiten comprobación experimental.</w:t>
            </w:r>
          </w:p>
          <w:p w:rsidR="00876410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2.2. Seleccionar de acuerdo con la naturaleza de las cuestiones que se traten la mejor manera de comprobar o refutar las hipótesis formuladas diseñando estrategias de indagación y búsqueda de evidencias que permitan obtener conclusiones y respuestas ajustadas a la naturaleza de la pregunta formulada</w:t>
            </w:r>
            <w:r w:rsidR="00876410" w:rsidRPr="00C56C9E">
              <w:rPr>
                <w:sz w:val="22"/>
                <w:szCs w:val="22"/>
              </w:rPr>
              <w:t>.</w:t>
            </w:r>
          </w:p>
          <w:p w:rsidR="00876410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2.3. Aplicar las leyes y teorías científicas conocidas al formular cuestiones e hipótesis siendo coherente con el conocimiento científico existente y diseñando los procedimientos experimentales o deductivos necesarios para resolverlas o comprobarlas.</w:t>
            </w:r>
          </w:p>
        </w:tc>
      </w:tr>
      <w:tr w:rsidR="00876410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876410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3.1. Emplear datos en diferentes formatos para interpretar y comunicar información relativa a un proceso fisicoquímico concreto relacionando entre sí lo que cada uno de ellos contiene y extrayendo en cada caso lo más relevante para la resolución de un problema</w:t>
            </w:r>
            <w:r w:rsidR="00876410" w:rsidRPr="00C56C9E">
              <w:rPr>
                <w:sz w:val="22"/>
                <w:szCs w:val="22"/>
              </w:rPr>
              <w:t>.</w:t>
            </w:r>
          </w:p>
          <w:p w:rsidR="00876410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3.2. Utilizar adecuadamente las reglas básicas de la física y la química incluyendo el uso de unidades de medida las herramientas matemáticas y las reglas de nomenclatura consiguiendo una comunicación efectiva con toda la comunidad científica</w:t>
            </w:r>
            <w:r w:rsidR="00876410" w:rsidRPr="00C56C9E">
              <w:rPr>
                <w:sz w:val="22"/>
                <w:szCs w:val="22"/>
              </w:rPr>
              <w:t>.</w:t>
            </w:r>
          </w:p>
          <w:p w:rsidR="00C56C9E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3.3. Poner en práctica las normas de uso de los espacios específicos de la ciencia como el laboratorio de Física y Química asegurando la salud propia y colectiva la conservación sostenible del medio ambiente y el cuidado de las instalaciones.</w:t>
            </w:r>
          </w:p>
        </w:tc>
      </w:tr>
      <w:tr w:rsidR="00876410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876410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4.1. Utilizar recursos variados tradicionales y digitales mejorando el aprendizaje autónomo y la interacción con otros miembros de la comunidad educativa con respeto hacia docentes y estudiantes y analizando críticamente las aportaciones de cada participante</w:t>
            </w:r>
            <w:r w:rsidR="00876410" w:rsidRPr="00C56C9E">
              <w:rPr>
                <w:sz w:val="22"/>
                <w:szCs w:val="22"/>
              </w:rPr>
              <w:t>.</w:t>
            </w:r>
          </w:p>
          <w:p w:rsidR="00876410" w:rsidRPr="00C56C9E" w:rsidRDefault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4.2. Trabajar de forma adecuada con medios variados tradicionales y digitales en la consulta de información y la creación de contenidos seleccionando con criterio las fuentes más fiables y desechando las menos adecuadas y mejorando el aprendizaje propio y colectivo</w:t>
            </w:r>
            <w:r w:rsidR="00876410" w:rsidRPr="00C56C9E">
              <w:rPr>
                <w:sz w:val="22"/>
                <w:szCs w:val="22"/>
              </w:rPr>
              <w:t>.</w:t>
            </w:r>
          </w:p>
        </w:tc>
      </w:tr>
      <w:tr w:rsidR="00876410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C56C9E" w:rsidRPr="00C56C9E" w:rsidRDefault="00C56C9E" w:rsidP="00C56C9E">
            <w:pPr>
              <w:pStyle w:val="Estilodetabla2A"/>
              <w:spacing w:line="240" w:lineRule="auto"/>
              <w:rPr>
                <w:rFonts w:ascii="Linux Biolinum G" w:hAnsi="Linux Biolinum G" w:cs="Linux Biolinum G"/>
                <w:sz w:val="22"/>
                <w:szCs w:val="22"/>
              </w:rPr>
            </w:pPr>
            <w:r w:rsidRPr="00C56C9E">
              <w:rPr>
                <w:rStyle w:val="Ninguno"/>
                <w:rFonts w:ascii="Linux Biolinum G" w:hAnsi="Linux Biolinum G" w:cs="Linux Biolinum G"/>
                <w:sz w:val="22"/>
                <w:szCs w:val="22"/>
              </w:rPr>
              <w:t>5.1. Establecer interacciones constructivas y coeducativas emprendiendo actividades de cooperación como forma de construir un medio de trabajo eficiente en la ciencia.</w:t>
            </w:r>
          </w:p>
          <w:p w:rsidR="00876410" w:rsidRPr="00C56C9E" w:rsidRDefault="00C56C9E" w:rsidP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5.2. Emprender de forma guiada y de acuerdo a la metodología adecuada proyectos científicos que involucren al alumnado en la mejora de la sociedad y que creen valor para el individuo y para la comunidad</w:t>
            </w:r>
            <w:r w:rsidR="00876410" w:rsidRPr="00C56C9E">
              <w:rPr>
                <w:sz w:val="22"/>
                <w:szCs w:val="22"/>
              </w:rPr>
              <w:t>.</w:t>
            </w:r>
          </w:p>
        </w:tc>
      </w:tr>
      <w:tr w:rsidR="00876410" w:rsidRPr="00C56C9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C56C9E" w:rsidRPr="00C56C9E" w:rsidRDefault="00C56C9E" w:rsidP="00C56C9E">
            <w:pPr>
              <w:pStyle w:val="Estilodetabla2A"/>
              <w:spacing w:line="240" w:lineRule="auto"/>
              <w:rPr>
                <w:rFonts w:ascii="Linux Biolinum G" w:hAnsi="Linux Biolinum G" w:cs="Linux Biolinum G"/>
                <w:sz w:val="22"/>
                <w:szCs w:val="22"/>
              </w:rPr>
            </w:pPr>
            <w:r w:rsidRPr="00C56C9E">
              <w:rPr>
                <w:rStyle w:val="Ninguno"/>
                <w:rFonts w:ascii="Linux Biolinum G" w:hAnsi="Linux Biolinum G" w:cs="Linux Biolinum G"/>
                <w:sz w:val="22"/>
                <w:szCs w:val="22"/>
              </w:rPr>
              <w:t>6.1. Reconocer y valorar a través del análisis histórico de los avances científicos logrados por hombres y mujeres de ciencia que la ciencia es un proceso en permanente construcción y las repercusiones mutuas de la ciencia actual con la tecnología la sociedad y el medio ambiente.</w:t>
            </w:r>
          </w:p>
          <w:p w:rsidR="00876410" w:rsidRPr="00C56C9E" w:rsidRDefault="00C56C9E" w:rsidP="00C56C9E">
            <w:pPr>
              <w:pStyle w:val="normal0"/>
              <w:rPr>
                <w:sz w:val="22"/>
                <w:szCs w:val="22"/>
              </w:rPr>
            </w:pPr>
            <w:r w:rsidRPr="00C56C9E">
              <w:rPr>
                <w:rStyle w:val="Ninguno"/>
                <w:sz w:val="22"/>
                <w:szCs w:val="22"/>
              </w:rPr>
              <w:t>6.2. Detectar en el entorno las necesidades tecnológicas ambientales económicas y sociales más importantes que demanda la sociedad entendiendo la capacidad de la ciencia para darles solución sostenible a través de la implicación de toda la ciudadanía</w:t>
            </w:r>
            <w:r w:rsidR="00876410" w:rsidRPr="00C56C9E">
              <w:rPr>
                <w:sz w:val="22"/>
                <w:szCs w:val="22"/>
              </w:rPr>
              <w:t>.</w:t>
            </w:r>
          </w:p>
        </w:tc>
      </w:tr>
    </w:tbl>
    <w:p w:rsidR="00D60EBE" w:rsidRDefault="00D60EBE">
      <w:pPr>
        <w:pStyle w:val="normal0"/>
      </w:pPr>
    </w:p>
    <w:tbl>
      <w:tblPr>
        <w:tblStyle w:val="a3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D60EBE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D60EBE" w:rsidRDefault="00B152D6" w:rsidP="00C56C9E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lastRenderedPageBreak/>
              <w:t>Criterios de calificación</w:t>
            </w:r>
          </w:p>
        </w:tc>
      </w:tr>
      <w:tr w:rsidR="00D60EB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 w:rsidP="00C56C9E">
            <w:pPr>
              <w:pStyle w:val="normal0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00" w:after="0" w:line="336" w:lineRule="auto"/>
              <w:rPr>
                <w:rFonts w:eastAsia="Arial"/>
                <w:sz w:val="22"/>
                <w:szCs w:val="22"/>
              </w:rPr>
            </w:pPr>
            <w:r w:rsidRPr="00C56C9E">
              <w:rPr>
                <w:rFonts w:eastAsia="Arial"/>
                <w:sz w:val="22"/>
                <w:szCs w:val="22"/>
              </w:rPr>
              <w:t>La nota media de cada evaluación se calcula como sigue:</w:t>
            </w:r>
          </w:p>
          <w:p w:rsidR="00D60EBE" w:rsidRPr="00C56C9E" w:rsidRDefault="00D34BF3" w:rsidP="00C56C9E">
            <w:pPr>
              <w:pStyle w:val="normal0"/>
              <w:keepNext/>
              <w:numPr>
                <w:ilvl w:val="0"/>
                <w:numId w:val="1"/>
              </w:numPr>
              <w:spacing w:before="200" w:after="0" w:line="336" w:lineRule="auto"/>
              <w:jc w:val="left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75</w:t>
            </w:r>
            <w:r w:rsidR="00B152D6" w:rsidRPr="00C56C9E">
              <w:rPr>
                <w:rFonts w:eastAsia="Arial"/>
                <w:sz w:val="22"/>
                <w:szCs w:val="22"/>
              </w:rPr>
              <w:t>% Pruebas escritas (exámenes).</w:t>
            </w:r>
            <w:r w:rsidR="00B152D6" w:rsidRPr="00C56C9E">
              <w:rPr>
                <w:rFonts w:eastAsia="Arial"/>
                <w:sz w:val="22"/>
                <w:szCs w:val="22"/>
              </w:rPr>
              <w:br/>
            </w:r>
            <w:r>
              <w:rPr>
                <w:rFonts w:eastAsia="Arial"/>
                <w:sz w:val="22"/>
                <w:szCs w:val="22"/>
              </w:rPr>
              <w:t>En la segunda evaluación, la realización de algunas tareas correspondientes a la unidad didáctica 5 será calificada en este apartado.</w:t>
            </w:r>
            <w:r>
              <w:rPr>
                <w:rFonts w:eastAsia="Arial"/>
                <w:sz w:val="22"/>
                <w:szCs w:val="22"/>
              </w:rPr>
              <w:br/>
            </w:r>
            <w:r w:rsidR="00B152D6" w:rsidRPr="00C56C9E">
              <w:rPr>
                <w:rFonts w:eastAsia="Arial"/>
                <w:sz w:val="22"/>
                <w:szCs w:val="22"/>
              </w:rPr>
              <w:t>En caso de que un alumno no asista a la realización de un examen en la fecha prevista, el profesor únicamente le repetirá el examen si el alumno entrega un justificante con un motivo de peso y firmado por los padres.</w:t>
            </w:r>
          </w:p>
          <w:p w:rsidR="00D60EBE" w:rsidRPr="00C56C9E" w:rsidRDefault="00D34BF3" w:rsidP="00C56C9E">
            <w:pPr>
              <w:pStyle w:val="normal0"/>
              <w:keepNext/>
              <w:numPr>
                <w:ilvl w:val="0"/>
                <w:numId w:val="1"/>
              </w:numPr>
              <w:spacing w:before="200" w:after="0" w:line="336" w:lineRule="auto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25</w:t>
            </w:r>
            <w:r w:rsidR="00B152D6" w:rsidRPr="00C56C9E">
              <w:rPr>
                <w:rFonts w:eastAsia="Arial"/>
                <w:sz w:val="22"/>
                <w:szCs w:val="22"/>
              </w:rPr>
              <w:t>% Informes de prácticas de laboratorio y/o trabajos y/o pequeñas pruebas escritas y/o revisión de la tarea y la observación del trabajo en clase.</w:t>
            </w:r>
          </w:p>
        </w:tc>
      </w:tr>
      <w:tr w:rsidR="00D60EB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 w:rsidP="00C56C9E">
            <w:pPr>
              <w:pStyle w:val="normal0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00" w:after="0" w:line="336" w:lineRule="auto"/>
              <w:rPr>
                <w:rFonts w:eastAsia="Arial"/>
                <w:sz w:val="22"/>
                <w:szCs w:val="22"/>
              </w:rPr>
            </w:pPr>
            <w:r w:rsidRPr="00C56C9E">
              <w:rPr>
                <w:rFonts w:eastAsia="Arial"/>
                <w:sz w:val="22"/>
                <w:szCs w:val="22"/>
              </w:rPr>
              <w:t xml:space="preserve">Al principio de la tercera evaluación se realizará de manera voluntaria un test de 20 preguntas sobre el libro de lectura </w:t>
            </w:r>
            <w:r w:rsidRPr="00C56C9E">
              <w:rPr>
                <w:rFonts w:eastAsia="Arial"/>
                <w:i/>
                <w:sz w:val="22"/>
                <w:szCs w:val="22"/>
              </w:rPr>
              <w:t>La clave secreta del universo</w:t>
            </w:r>
            <w:r w:rsidRPr="00C56C9E">
              <w:rPr>
                <w:rFonts w:eastAsia="Arial"/>
                <w:sz w:val="22"/>
                <w:szCs w:val="22"/>
              </w:rPr>
              <w:t xml:space="preserve"> de Stephen y Lucy Hawking. Las preguntas falladas no restan, pero el alumno deberá responder correctamente a un mínimo de 15 preguntas para subir la nota final de la tercera evaluación en 0,5 puntos.</w:t>
            </w:r>
          </w:p>
        </w:tc>
      </w:tr>
      <w:tr w:rsidR="00D60EB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 w:rsidP="00C56C9E">
            <w:pPr>
              <w:pStyle w:val="normal0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00" w:after="0" w:line="336" w:lineRule="auto"/>
              <w:rPr>
                <w:rFonts w:eastAsia="Arial"/>
                <w:sz w:val="22"/>
                <w:szCs w:val="22"/>
              </w:rPr>
            </w:pPr>
            <w:r w:rsidRPr="00C56C9E">
              <w:rPr>
                <w:rFonts w:eastAsia="Arial"/>
                <w:sz w:val="22"/>
                <w:szCs w:val="22"/>
              </w:rPr>
              <w:t>La nota final del curso es la media aritmética de las tres evaluaciones. El alumnado superará la materia cuando tenga una nota igual o superior a 5.</w:t>
            </w:r>
          </w:p>
        </w:tc>
      </w:tr>
      <w:tr w:rsidR="00D60EB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auto"/>
          </w:tcPr>
          <w:p w:rsidR="00D60EBE" w:rsidRPr="00C56C9E" w:rsidRDefault="00B152D6" w:rsidP="00C56C9E">
            <w:pPr>
              <w:pStyle w:val="normal0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00" w:after="0" w:line="336" w:lineRule="auto"/>
              <w:rPr>
                <w:rFonts w:eastAsia="Arial"/>
                <w:color w:val="000000"/>
                <w:sz w:val="22"/>
                <w:szCs w:val="22"/>
              </w:rPr>
            </w:pPr>
            <w:r w:rsidRPr="00C56C9E">
              <w:rPr>
                <w:rFonts w:eastAsia="Arial"/>
                <w:sz w:val="22"/>
                <w:szCs w:val="22"/>
              </w:rPr>
              <w:t>Cada evaluación tendrá una única recuperación una vez finalizada la evaluación correspondiente, cuya nota, si es superior, sustituirá a la de la evaluación suspensa.</w:t>
            </w:r>
          </w:p>
        </w:tc>
      </w:tr>
    </w:tbl>
    <w:p w:rsidR="00D60EBE" w:rsidRDefault="00D60EBE">
      <w:pPr>
        <w:pStyle w:val="normal0"/>
      </w:pPr>
    </w:p>
    <w:tbl>
      <w:tblPr>
        <w:tblStyle w:val="a4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D60EBE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Criterios de promoción y titulación</w:t>
            </w:r>
          </w:p>
        </w:tc>
      </w:tr>
      <w:tr w:rsidR="00D60EB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D60EBE" w:rsidRDefault="00B152D6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 xml:space="preserve">Con respecto a la </w:t>
            </w:r>
            <w:r>
              <w:rPr>
                <w:b/>
                <w:color w:val="000000"/>
              </w:rPr>
              <w:t>promoción</w:t>
            </w:r>
            <w:r>
              <w:rPr>
                <w:color w:val="000000"/>
              </w:rPr>
              <w:t xml:space="preserve"> se seguirá la normativa definida en el artículo 18 (Artículo 18. Promoción) de la Orden ECD/1172/2022, de 2 de agosto, por la que se aprueban el currículo y las características de la evaluación de la Educación Secundaria Obligatoria y se autoriza su aplicación en los centros docentes de la Comunidad Autónoma de Aragón.</w:t>
            </w:r>
          </w:p>
          <w:p w:rsidR="00D60EBE" w:rsidRDefault="00B152D6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 xml:space="preserve">Con respecto a la </w:t>
            </w:r>
            <w:r>
              <w:rPr>
                <w:b/>
                <w:color w:val="000000"/>
              </w:rPr>
              <w:t>titulación</w:t>
            </w:r>
            <w:r>
              <w:rPr>
                <w:color w:val="000000"/>
              </w:rPr>
              <w:t xml:space="preserve"> se seguirá la normativa definida en el artículo 27 (Artículo 27. Título de Graduado o Graduada en Educación Secundaria Obligatoria) de la Orden indicada en el párrafo anterior.</w:t>
            </w:r>
          </w:p>
        </w:tc>
      </w:tr>
    </w:tbl>
    <w:p w:rsidR="00D60EBE" w:rsidRDefault="00D60EBE">
      <w:pPr>
        <w:pStyle w:val="normal0"/>
      </w:pPr>
    </w:p>
    <w:tbl>
      <w:tblPr>
        <w:tblStyle w:val="a5"/>
        <w:tblW w:w="9638" w:type="dxa"/>
        <w:tblInd w:w="-105" w:type="dxa"/>
        <w:tblBorders>
          <w:top w:val="single" w:sz="6" w:space="0" w:color="213C70"/>
          <w:left w:val="single" w:sz="6" w:space="0" w:color="213C70"/>
          <w:bottom w:val="single" w:sz="4" w:space="0" w:color="213C70"/>
          <w:right w:val="single" w:sz="6" w:space="0" w:color="213C70"/>
          <w:insideH w:val="single" w:sz="4" w:space="0" w:color="213C70"/>
          <w:insideV w:val="single" w:sz="6" w:space="0" w:color="213C70"/>
        </w:tblBorders>
        <w:tblLayout w:type="fixed"/>
        <w:tblLook w:val="0000"/>
      </w:tblPr>
      <w:tblGrid>
        <w:gridCol w:w="9638"/>
      </w:tblGrid>
      <w:tr w:rsidR="00D60EBE">
        <w:trPr>
          <w:cantSplit/>
          <w:tblHeader/>
        </w:trPr>
        <w:tc>
          <w:tcPr>
            <w:tcW w:w="9638" w:type="dxa"/>
            <w:tcBorders>
              <w:top w:val="single" w:sz="6" w:space="0" w:color="213C70"/>
              <w:left w:val="single" w:sz="6" w:space="0" w:color="213C70"/>
              <w:bottom w:val="single" w:sz="4" w:space="0" w:color="213C70"/>
              <w:right w:val="single" w:sz="6" w:space="0" w:color="213C70"/>
            </w:tcBorders>
            <w:shd w:val="clear" w:color="auto" w:fill="DEE2EB"/>
          </w:tcPr>
          <w:p w:rsidR="00D60EBE" w:rsidRDefault="00B152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3465A4"/>
                <w:sz w:val="36"/>
                <w:szCs w:val="36"/>
              </w:rPr>
            </w:pPr>
            <w:r>
              <w:rPr>
                <w:color w:val="3465A4"/>
                <w:sz w:val="36"/>
                <w:szCs w:val="36"/>
              </w:rPr>
              <w:t>Medidas de intervención educativa que se precisen</w:t>
            </w:r>
          </w:p>
        </w:tc>
      </w:tr>
      <w:tr w:rsidR="00D60EBE">
        <w:trPr>
          <w:cantSplit/>
          <w:tblHeader/>
        </w:trPr>
        <w:tc>
          <w:tcPr>
            <w:tcW w:w="9638" w:type="dxa"/>
            <w:tcBorders>
              <w:left w:val="single" w:sz="6" w:space="0" w:color="213C70"/>
              <w:bottom w:val="single" w:sz="6" w:space="0" w:color="213C70"/>
              <w:right w:val="single" w:sz="6" w:space="0" w:color="213C70"/>
            </w:tcBorders>
            <w:shd w:val="clear" w:color="auto" w:fill="auto"/>
          </w:tcPr>
          <w:p w:rsidR="00D60EBE" w:rsidRDefault="00B152D6">
            <w:pPr>
              <w:pStyle w:val="normal0"/>
              <w:rPr>
                <w:color w:val="000000"/>
              </w:rPr>
            </w:pPr>
            <w:r>
              <w:rPr>
                <w:color w:val="000000"/>
              </w:rPr>
              <w:t>En función de las necesidades que surjan a lo largo del proceso, se implementarán las medidas adecuadas.</w:t>
            </w:r>
          </w:p>
        </w:tc>
      </w:tr>
    </w:tbl>
    <w:p w:rsidR="00D60EBE" w:rsidRDefault="00D60EBE">
      <w:pPr>
        <w:pStyle w:val="normal0"/>
      </w:pPr>
    </w:p>
    <w:sectPr w:rsidR="00D60EBE" w:rsidSect="00D60EBE">
      <w:footerReference w:type="default" r:id="rId8"/>
      <w:pgSz w:w="11906" w:h="16838"/>
      <w:pgMar w:top="1134" w:right="1134" w:bottom="1748" w:left="1134" w:header="0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86E" w:rsidRDefault="0053686E" w:rsidP="00D60EBE">
      <w:pPr>
        <w:spacing w:before="0" w:after="0"/>
      </w:pPr>
      <w:r>
        <w:separator/>
      </w:r>
    </w:p>
  </w:endnote>
  <w:endnote w:type="continuationSeparator" w:id="1">
    <w:p w:rsidR="0053686E" w:rsidRDefault="0053686E" w:rsidP="00D60EB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Biolinum G">
    <w:panose1 w:val="02000503000000000000"/>
    <w:charset w:val="00"/>
    <w:family w:val="auto"/>
    <w:pitch w:val="variable"/>
    <w:sig w:usb0="E0000AFF" w:usb1="5000E5FB" w:usb2="0000002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EBE" w:rsidRDefault="009E17D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B152D6">
      <w:rPr>
        <w:color w:val="000000"/>
      </w:rPr>
      <w:instrText>PAGE</w:instrText>
    </w:r>
    <w:r>
      <w:rPr>
        <w:color w:val="000000"/>
      </w:rPr>
      <w:fldChar w:fldCharType="separate"/>
    </w:r>
    <w:r w:rsidR="00D34BF3">
      <w:rPr>
        <w:noProof/>
        <w:color w:val="000000"/>
      </w:rPr>
      <w:t>2</w:t>
    </w:r>
    <w:r>
      <w:rPr>
        <w:color w:val="000000"/>
      </w:rPr>
      <w:fldChar w:fldCharType="end"/>
    </w:r>
    <w:r w:rsidR="00B152D6">
      <w:rPr>
        <w:color w:val="000000"/>
      </w:rPr>
      <w:t xml:space="preserve"> de </w:t>
    </w:r>
    <w:r>
      <w:rPr>
        <w:color w:val="000000"/>
      </w:rPr>
      <w:fldChar w:fldCharType="begin"/>
    </w:r>
    <w:r w:rsidR="00B152D6">
      <w:rPr>
        <w:color w:val="000000"/>
      </w:rPr>
      <w:instrText>NUMPAGES</w:instrText>
    </w:r>
    <w:r>
      <w:rPr>
        <w:color w:val="000000"/>
      </w:rPr>
      <w:fldChar w:fldCharType="separate"/>
    </w:r>
    <w:r w:rsidR="00D34BF3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86E" w:rsidRDefault="0053686E" w:rsidP="00D60EBE">
      <w:pPr>
        <w:spacing w:before="0" w:after="0"/>
      </w:pPr>
      <w:r>
        <w:separator/>
      </w:r>
    </w:p>
  </w:footnote>
  <w:footnote w:type="continuationSeparator" w:id="1">
    <w:p w:rsidR="0053686E" w:rsidRDefault="0053686E" w:rsidP="00D60EB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6428D"/>
    <w:multiLevelType w:val="multilevel"/>
    <w:tmpl w:val="D44C0C8E"/>
    <w:lvl w:ilvl="0">
      <w:start w:val="1"/>
      <w:numFmt w:val="bullet"/>
      <w:lvlText w:val="•"/>
      <w:lvlJc w:val="left"/>
      <w:pPr>
        <w:ind w:left="24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48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72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96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120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144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168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192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2160" w:hanging="240"/>
      </w:pPr>
      <w:rPr>
        <w:smallCaps w:val="0"/>
        <w:strike w:val="0"/>
        <w:sz w:val="26"/>
        <w:szCs w:val="26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0EBE"/>
    <w:rsid w:val="000F3230"/>
    <w:rsid w:val="0053686E"/>
    <w:rsid w:val="00876410"/>
    <w:rsid w:val="009E17DA"/>
    <w:rsid w:val="00A7562C"/>
    <w:rsid w:val="00B152D6"/>
    <w:rsid w:val="00C56C9E"/>
    <w:rsid w:val="00D34BF3"/>
    <w:rsid w:val="00D6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nux Biolinum G" w:eastAsia="Linux Biolinum G" w:hAnsi="Linux Biolinum G" w:cs="Linux Biolinum G"/>
        <w:sz w:val="24"/>
        <w:szCs w:val="24"/>
        <w:lang w:val="es-ES" w:eastAsia="es-ES" w:bidi="ar-SA"/>
      </w:rPr>
    </w:rPrDefault>
    <w:pPrDefault>
      <w:pPr>
        <w:spacing w:before="57" w:after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DA"/>
  </w:style>
  <w:style w:type="paragraph" w:styleId="Ttulo1">
    <w:name w:val="heading 1"/>
    <w:basedOn w:val="normal0"/>
    <w:next w:val="normal0"/>
    <w:rsid w:val="00D60EBE"/>
    <w:pPr>
      <w:keepNext/>
      <w:spacing w:before="240" w:after="120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Ttulo2">
    <w:name w:val="heading 2"/>
    <w:basedOn w:val="normal0"/>
    <w:next w:val="normal0"/>
    <w:link w:val="Ttulo2Car"/>
    <w:rsid w:val="00D60EBE"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color w:val="213C70"/>
      <w:sz w:val="32"/>
      <w:szCs w:val="32"/>
    </w:rPr>
  </w:style>
  <w:style w:type="paragraph" w:styleId="Ttulo3">
    <w:name w:val="heading 3"/>
    <w:basedOn w:val="normal0"/>
    <w:next w:val="normal0"/>
    <w:rsid w:val="00D60E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60EB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D60EB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D60E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sid w:val="00D60EB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D60EBE"/>
  </w:style>
  <w:style w:type="paragraph" w:styleId="Ttulo">
    <w:name w:val="Title"/>
    <w:basedOn w:val="normal0"/>
    <w:next w:val="normal0"/>
    <w:rsid w:val="00D60EBE"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color w:val="3465A4"/>
      <w:sz w:val="44"/>
      <w:szCs w:val="44"/>
    </w:rPr>
  </w:style>
  <w:style w:type="paragraph" w:styleId="Subttulo">
    <w:name w:val="Subtitle"/>
    <w:basedOn w:val="normal0"/>
    <w:next w:val="normal0"/>
    <w:rsid w:val="00D60EB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60EBE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rsid w:val="00D60EBE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1">
    <w:basedOn w:val="TableNormal"/>
    <w:rsid w:val="00D60EBE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2">
    <w:basedOn w:val="TableNormal"/>
    <w:rsid w:val="00D60EBE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3">
    <w:basedOn w:val="TableNormal"/>
    <w:rsid w:val="00D60EBE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4">
    <w:basedOn w:val="TableNormal"/>
    <w:rsid w:val="00D60EBE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table" w:customStyle="1" w:styleId="a5">
    <w:basedOn w:val="TableNormal"/>
    <w:rsid w:val="00D60EBE"/>
    <w:tblPr>
      <w:tblStyleRowBandSize w:val="1"/>
      <w:tblStyleColBandSize w:val="1"/>
      <w:tblCellMar>
        <w:top w:w="57" w:type="dxa"/>
        <w:left w:w="105" w:type="dxa"/>
        <w:bottom w:w="57" w:type="dxa"/>
        <w:right w:w="113" w:type="dxa"/>
      </w:tblCellMar>
    </w:tblPr>
  </w:style>
  <w:style w:type="character" w:customStyle="1" w:styleId="Ninguno">
    <w:name w:val="Ninguno"/>
    <w:rsid w:val="00876410"/>
    <w:rPr>
      <w:lang w:val="es-ES_tradnl"/>
    </w:rPr>
  </w:style>
  <w:style w:type="paragraph" w:customStyle="1" w:styleId="Estilodetabla2A">
    <w:name w:val="Estilo de tabla 2 A"/>
    <w:rsid w:val="00876410"/>
    <w:pPr>
      <w:pBdr>
        <w:top w:val="nil"/>
        <w:left w:val="nil"/>
        <w:bottom w:val="nil"/>
        <w:right w:val="nil"/>
        <w:between w:val="nil"/>
        <w:bar w:val="nil"/>
      </w:pBdr>
      <w:spacing w:before="0" w:after="100" w:line="276" w:lineRule="auto"/>
      <w:jc w:val="left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shd w:val="nil"/>
      <w:lang w:val="es-ES_tradnl"/>
    </w:rPr>
  </w:style>
  <w:style w:type="character" w:customStyle="1" w:styleId="Ttulo2Car">
    <w:name w:val="Título 2 Car"/>
    <w:basedOn w:val="Fuentedeprrafopredeter"/>
    <w:link w:val="Ttulo2"/>
    <w:rsid w:val="00C56C9E"/>
    <w:rPr>
      <w:rFonts w:ascii="Liberation Sans" w:eastAsia="Liberation Sans" w:hAnsi="Liberation Sans" w:cs="Liberation Sans"/>
      <w:b/>
      <w:color w:val="213C7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Estudiante</dc:creator>
  <cp:lastModifiedBy>Estudiante</cp:lastModifiedBy>
  <cp:revision>4</cp:revision>
  <dcterms:created xsi:type="dcterms:W3CDTF">2025-10-15T09:15:00Z</dcterms:created>
  <dcterms:modified xsi:type="dcterms:W3CDTF">2025-10-15T09:34:00Z</dcterms:modified>
</cp:coreProperties>
</file>